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7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sz w:val="24"/>
        </w:rPr>
        <w:t>List any seven principles of respectful caregiving you would apply in your daily interactions with infants and toddlers. Describe any two principles in detail.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sz w:val="24"/>
        </w:rPr>
        <w:t>Explain the three-R interactions. Identify the ways that a caregiver demonstrates respect, responsiveness, and reciprocity.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sz w:val="24"/>
        </w:rPr>
        <w:t>Describe the different types of quality time.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sz w:val="24"/>
        </w:rPr>
        <w:t>Why should caregivers spend quality time focusing on one child at a time? How does this type of interaction support the development of a child?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sz w:val="24"/>
        </w:rPr>
        <w:t>What are the three knowledge bases of developmentally appropriate practice (DAP)? Explain their importance in creating developmentally appropriate practice.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sz w:val="24"/>
        </w:rPr>
        <w:t>Why must infants and toddlers be respected as worthy people? Explain with an example.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sz w:val="24"/>
        </w:rPr>
        <w:t>How do adults support infants and toddlers in solving their problems? How is scaffolding helpful in developing problem-solving skills in children?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sz w:val="24"/>
        </w:rPr>
        <w:t>According to one of the principles based on a philosophy of respect, put forth by Magda Gerber, _____ deserve respect as worthy people.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infants and toddlers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parents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siblings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caregivers and teachers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sz w:val="24"/>
        </w:rPr>
        <w:t>By talking naturally to a child, you teach 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listening skills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language and speaking skills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words and language in context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answers are correct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>What will be the impact on a child's understanding of communication if the body language of a caregiver does not match the caregiver's words?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It will offer several useful modes of communication.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It will send two clear messages at once.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It will send two potentially conflicting messages.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It will create an opportunity for clear communication.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sz w:val="24"/>
        </w:rPr>
        <w:t>Respectful interactions with a child include _____.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involving a child in caregiving tasks such as changing a diaper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not carrying a child around like an object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talking to a child in a natural way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answers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sz w:val="24"/>
        </w:rPr>
        <w:t>A responsive interaction chain is all of the following except: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the basis of effective caregiving.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the exchange of responses between a caregiver and a child.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a respectful way of interaction.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 clear demand of expectations from a child by a caregiver.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sz w:val="24"/>
        </w:rPr>
        <w:t>The philosophy of infant-toddler care and education stressed in this book comes from the work of: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Adam Waldorf and Emily Browne.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Magda Gerber and Emmi Pikler.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John Dewey and Maria Montessori.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None of the answers is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b w:val="false"/>
          <w:i w:val="false"/>
          <w:color w:val="000000"/>
          <w:sz w:val="24"/>
        </w:rPr>
        <w:t>The three Rs describe an infant's or toddler's _____ with others.</w:t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physical position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stimulatory activities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interactions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play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sz w:val="24"/>
        </w:rPr>
        <w:t>Infant-toddler caregivers must be: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well trained.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good communicators and problem-solvers.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respectful toward infants and toddlers.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answers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sz w:val="24"/>
        </w:rPr>
        <w:t>Investing in quality time involves: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making sure time is spent with every child in a group.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being fully available when spending time with a child.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making sure a time-out is used right away.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All of the answers are correct.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sz w:val="24"/>
        </w:rPr>
        <w:t>Which of the following principles is based on a philosophy of respect?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Regarding infants and toddlers as worthy people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Encouraging toddlers to reach developmental milestones within a specified time limit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Prioritizing the cognitive development of toddlers over their total development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Helping infants or toddlers solve all their problems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sz w:val="24"/>
        </w:rPr>
        <w:t>Which of the following actions illustrates the concept of respecting an infant or a toddler?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Picking up a child without saying anything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Rushing and picking up a fallen toddler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Changing a soiled diaper in silence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Checking if a child needs reassurance or physical help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sz w:val="24"/>
        </w:rPr>
        <w:t>If a caregiver involves children in things that concern them, it can: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cause frustration in the caregiver and a delay in providing assistance.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 make the children active participants in what happens to them.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disrupt the partnership between the caregiver and the children.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make the child increasingly dependent on the caregiver.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sz w:val="24"/>
        </w:rPr>
        <w:t>The primary way in which caregivers can help in the development of a child is by:</w:t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 encouraging the child to do thoroughly whatever he or she is doing.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 recommending activities to parents for speeding up the child's development.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 constantly comparing the child with other children of his or her age.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 pushing the child to reach developmental milestones within a specific timeline.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sz w:val="24"/>
        </w:rPr>
        <w:t>During wants-nothing quality time, caregivers make themselves available without directing the action.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Caregivers should never express their anger in front of young children and should always be warm even if they get angry or upset with the children's actions.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sz w:val="24"/>
        </w:rPr>
        <w:t>Adults should never assist a child in solving a problem.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sz w:val="24"/>
        </w:rPr>
        <w:t>Young children have the capacity to solve many problems.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sz w:val="24"/>
        </w:rPr>
        <w:t>In the context of infant-toddler care and education, the word "curriculum" is defined as a course of study or a plan for learning that is all-inclusive and centers on connections and relationships.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Caregivers can learn exactly how to honor every parent's parenting practices by reading books about diversity.</w:t>
      </w:r>
      <w:r>
        <w:rPr>
          <w:rFonts w:ascii="Times New Roman"/>
          <w:sz w:val="24"/>
        </w:rPr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sz w:val="24"/>
        </w:rPr>
        <w:t>A reciprocal interaction between a caregiver and a baby involves a whole chain of responses going back and forth between the caregiver and the baby.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sz w:val="24"/>
        </w:rPr>
        <w:t>A practice that fits research and child development principles but does not fit some children and their families cannot be called a culturally appropriate practice in the larger sense.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t>⊚</w:t>
        <w:tab/>
        <w:t>true</w:t>
        <w:br/>
      </w:r>
      <w:r>
        <w:rPr>
          <w:rFonts w:ascii="Times New Roman"/>
          <w:sz w:val="24"/>
        </w:rPr>
        <w:tab/>
        <w:t>⊚</w:t>
        <w:tab/>
        <w:t>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Answers may vary.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FALSE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TRUE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TRUE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